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563" w:rsidRDefault="0052172A" w:rsidP="00BF20EE">
      <w:pPr>
        <w:spacing w:after="0" w:line="240" w:lineRule="auto"/>
        <w:ind w:left="0"/>
        <w:jc w:val="center"/>
        <w:rPr>
          <w:b/>
          <w:sz w:val="24"/>
        </w:rPr>
      </w:pPr>
      <w:bookmarkStart w:id="0" w:name="_Toc342899817"/>
      <w:r>
        <w:rPr>
          <w:b/>
          <w:sz w:val="24"/>
        </w:rPr>
        <w:t>Appendix 4</w:t>
      </w:r>
      <w:bookmarkStart w:id="1" w:name="_GoBack"/>
      <w:bookmarkEnd w:id="1"/>
      <w:r w:rsidR="00CF3563">
        <w:rPr>
          <w:b/>
          <w:sz w:val="24"/>
        </w:rPr>
        <w:t xml:space="preserve"> </w:t>
      </w:r>
      <w:r w:rsidR="00A51F11" w:rsidRPr="00BF20EE">
        <w:rPr>
          <w:sz w:val="24"/>
        </w:rPr>
        <w:t>–</w:t>
      </w:r>
      <w:r w:rsidR="00CF3563" w:rsidRPr="00BF20EE">
        <w:rPr>
          <w:sz w:val="24"/>
        </w:rPr>
        <w:t xml:space="preserve"> Assessment</w:t>
      </w:r>
      <w:r w:rsidR="00A51F11" w:rsidRPr="00BF20EE">
        <w:rPr>
          <w:sz w:val="24"/>
        </w:rPr>
        <w:t xml:space="preserve"> </w:t>
      </w:r>
      <w:r w:rsidR="00B67DB1" w:rsidRPr="00BF20EE">
        <w:rPr>
          <w:sz w:val="24"/>
        </w:rPr>
        <w:t xml:space="preserve">Types and </w:t>
      </w:r>
      <w:r w:rsidR="00A51F11" w:rsidRPr="00BF20EE">
        <w:rPr>
          <w:sz w:val="24"/>
        </w:rPr>
        <w:t>Combinations</w:t>
      </w:r>
    </w:p>
    <w:p w:rsidR="00CF3563" w:rsidRPr="00CF3563" w:rsidRDefault="00CF3563" w:rsidP="00AF1167">
      <w:pPr>
        <w:spacing w:after="0" w:line="240" w:lineRule="auto"/>
        <w:ind w:left="0"/>
        <w:rPr>
          <w:b/>
          <w:szCs w:val="21"/>
        </w:rPr>
      </w:pPr>
    </w:p>
    <w:p w:rsidR="00AF1167" w:rsidRPr="00CF3563" w:rsidRDefault="00CF3563" w:rsidP="00CF3563">
      <w:pPr>
        <w:spacing w:after="204" w:line="336" w:lineRule="atLeast"/>
        <w:ind w:left="709" w:hanging="709"/>
        <w:rPr>
          <w:szCs w:val="21"/>
        </w:rPr>
      </w:pPr>
      <w:r w:rsidRPr="00CF3563">
        <w:rPr>
          <w:b/>
          <w:szCs w:val="21"/>
        </w:rPr>
        <w:t>Note:</w:t>
      </w:r>
      <w:r>
        <w:rPr>
          <w:szCs w:val="21"/>
        </w:rPr>
        <w:t xml:space="preserve">  This information </w:t>
      </w:r>
      <w:proofErr w:type="gramStart"/>
      <w:r>
        <w:rPr>
          <w:szCs w:val="21"/>
        </w:rPr>
        <w:t>wa</w:t>
      </w:r>
      <w:r w:rsidR="00CD7EFF">
        <w:rPr>
          <w:szCs w:val="21"/>
        </w:rPr>
        <w:t>s previously published</w:t>
      </w:r>
      <w:proofErr w:type="gramEnd"/>
      <w:r w:rsidR="00CD7EFF">
        <w:rPr>
          <w:szCs w:val="21"/>
        </w:rPr>
        <w:t xml:space="preserve"> in the no</w:t>
      </w:r>
      <w:r>
        <w:rPr>
          <w:szCs w:val="21"/>
        </w:rPr>
        <w:t xml:space="preserve">w rescinded </w:t>
      </w:r>
      <w:r>
        <w:rPr>
          <w:i/>
          <w:szCs w:val="21"/>
        </w:rPr>
        <w:t xml:space="preserve">Workload, Assessment and Marking &amp; Grading </w:t>
      </w:r>
      <w:r w:rsidRPr="00CF3563">
        <w:rPr>
          <w:szCs w:val="21"/>
        </w:rPr>
        <w:t>Policy</w:t>
      </w:r>
      <w:r>
        <w:rPr>
          <w:szCs w:val="21"/>
        </w:rPr>
        <w:t xml:space="preserve"> [000649]</w:t>
      </w:r>
      <w:bookmarkEnd w:id="0"/>
      <w:r>
        <w:rPr>
          <w:szCs w:val="21"/>
        </w:rPr>
        <w:t>.</w:t>
      </w:r>
    </w:p>
    <w:p w:rsidR="00AF1167" w:rsidRPr="00B67DB1" w:rsidRDefault="00CF3563" w:rsidP="00B67DB1">
      <w:pPr>
        <w:spacing w:before="100" w:beforeAutospacing="1" w:after="120" w:line="336" w:lineRule="atLeast"/>
        <w:ind w:left="686" w:hanging="686"/>
        <w:rPr>
          <w:b/>
          <w:bCs/>
          <w:sz w:val="24"/>
        </w:rPr>
      </w:pPr>
      <w:r w:rsidRPr="00CF3563">
        <w:rPr>
          <w:b/>
          <w:bCs/>
          <w:sz w:val="24"/>
        </w:rPr>
        <w:t>1.</w:t>
      </w:r>
      <w:r w:rsidRPr="00CF3563">
        <w:rPr>
          <w:b/>
          <w:bCs/>
          <w:sz w:val="24"/>
        </w:rPr>
        <w:tab/>
      </w:r>
      <w:r w:rsidR="00AF1167" w:rsidRPr="00B67DB1">
        <w:rPr>
          <w:b/>
          <w:bCs/>
          <w:sz w:val="24"/>
        </w:rPr>
        <w:t>Combination</w:t>
      </w:r>
      <w:r w:rsidR="00B67DB1" w:rsidRPr="00B67DB1">
        <w:rPr>
          <w:b/>
          <w:bCs/>
          <w:sz w:val="24"/>
        </w:rPr>
        <w:t xml:space="preserve"> Examples</w:t>
      </w:r>
    </w:p>
    <w:p w:rsidR="00AF1167" w:rsidRDefault="00AF1167" w:rsidP="00F07764">
      <w:pPr>
        <w:spacing w:after="0" w:line="336" w:lineRule="atLeast"/>
        <w:ind w:left="709"/>
        <w:rPr>
          <w:szCs w:val="21"/>
        </w:rPr>
      </w:pPr>
      <w:r w:rsidRPr="007671D8">
        <w:rPr>
          <w:szCs w:val="21"/>
        </w:rPr>
        <w:t>A 10 Unit Course can include any combination of assessment items. Examples of combinations from various Faculties/disciplines may include the following:</w:t>
      </w:r>
    </w:p>
    <w:p w:rsidR="00AF1167" w:rsidRPr="007671D8" w:rsidRDefault="00AF1167" w:rsidP="00CF3563">
      <w:pPr>
        <w:numPr>
          <w:ilvl w:val="0"/>
          <w:numId w:val="1"/>
        </w:numPr>
        <w:tabs>
          <w:tab w:val="clear" w:pos="720"/>
          <w:tab w:val="num" w:pos="1418"/>
        </w:tabs>
        <w:spacing w:before="24" w:after="24" w:line="336" w:lineRule="atLeast"/>
        <w:ind w:left="1418"/>
        <w:rPr>
          <w:szCs w:val="21"/>
        </w:rPr>
      </w:pPr>
      <w:r w:rsidRPr="007671D8">
        <w:rPr>
          <w:szCs w:val="21"/>
        </w:rPr>
        <w:t>Arts</w:t>
      </w:r>
    </w:p>
    <w:p w:rsidR="00AF1167" w:rsidRDefault="00AF1167" w:rsidP="00CF3563">
      <w:pPr>
        <w:pStyle w:val="ListParagraph"/>
        <w:numPr>
          <w:ilvl w:val="1"/>
          <w:numId w:val="1"/>
        </w:numPr>
        <w:tabs>
          <w:tab w:val="clear" w:pos="1440"/>
          <w:tab w:val="num" w:pos="2268"/>
        </w:tabs>
        <w:spacing w:before="24" w:after="24" w:line="336" w:lineRule="atLeast"/>
        <w:ind w:left="2268"/>
        <w:rPr>
          <w:szCs w:val="21"/>
        </w:rPr>
      </w:pPr>
      <w:r w:rsidRPr="00756BC3">
        <w:rPr>
          <w:szCs w:val="21"/>
        </w:rPr>
        <w:t>one 1500 word essay, one 2 hour exam, and a verbal presentation;</w:t>
      </w:r>
    </w:p>
    <w:p w:rsidR="00AF1167" w:rsidRPr="007671D8" w:rsidRDefault="00AF1167" w:rsidP="00CF3563">
      <w:pPr>
        <w:numPr>
          <w:ilvl w:val="0"/>
          <w:numId w:val="1"/>
        </w:numPr>
        <w:tabs>
          <w:tab w:val="clear" w:pos="720"/>
          <w:tab w:val="num" w:pos="1418"/>
        </w:tabs>
        <w:spacing w:before="24" w:after="24" w:line="336" w:lineRule="atLeast"/>
        <w:ind w:left="1418"/>
        <w:rPr>
          <w:szCs w:val="21"/>
        </w:rPr>
      </w:pPr>
      <w:r w:rsidRPr="007671D8">
        <w:rPr>
          <w:szCs w:val="21"/>
        </w:rPr>
        <w:t>Engineering</w:t>
      </w:r>
    </w:p>
    <w:p w:rsidR="00AF1167" w:rsidRDefault="00AF1167" w:rsidP="00CF3563">
      <w:pPr>
        <w:pStyle w:val="ListParagraph"/>
        <w:numPr>
          <w:ilvl w:val="1"/>
          <w:numId w:val="1"/>
        </w:numPr>
        <w:tabs>
          <w:tab w:val="clear" w:pos="1440"/>
          <w:tab w:val="num" w:pos="2268"/>
        </w:tabs>
        <w:spacing w:before="24" w:after="24" w:line="336" w:lineRule="atLeast"/>
        <w:ind w:left="2268"/>
        <w:rPr>
          <w:szCs w:val="21"/>
        </w:rPr>
      </w:pPr>
      <w:r w:rsidRPr="00756BC3">
        <w:rPr>
          <w:szCs w:val="21"/>
        </w:rPr>
        <w:t>two programming assignments, one 3000 word report, and a final exam;</w:t>
      </w:r>
    </w:p>
    <w:p w:rsidR="00AF1167" w:rsidRPr="007671D8" w:rsidRDefault="00AF1167" w:rsidP="00CF3563">
      <w:pPr>
        <w:numPr>
          <w:ilvl w:val="0"/>
          <w:numId w:val="1"/>
        </w:numPr>
        <w:tabs>
          <w:tab w:val="clear" w:pos="720"/>
          <w:tab w:val="num" w:pos="1418"/>
        </w:tabs>
        <w:spacing w:before="24" w:after="24" w:line="336" w:lineRule="atLeast"/>
        <w:ind w:left="1418"/>
        <w:rPr>
          <w:szCs w:val="21"/>
        </w:rPr>
      </w:pPr>
      <w:r w:rsidRPr="007671D8">
        <w:rPr>
          <w:szCs w:val="21"/>
        </w:rPr>
        <w:t>Mathematics/Statistics</w:t>
      </w:r>
    </w:p>
    <w:p w:rsidR="00AF1167" w:rsidRDefault="00AF1167" w:rsidP="00CF3563">
      <w:pPr>
        <w:pStyle w:val="ListParagraph"/>
        <w:numPr>
          <w:ilvl w:val="1"/>
          <w:numId w:val="1"/>
        </w:numPr>
        <w:tabs>
          <w:tab w:val="clear" w:pos="1440"/>
          <w:tab w:val="num" w:pos="2268"/>
        </w:tabs>
        <w:spacing w:before="24" w:after="24" w:line="336" w:lineRule="atLeast"/>
        <w:ind w:left="2268"/>
        <w:rPr>
          <w:szCs w:val="21"/>
        </w:rPr>
      </w:pPr>
      <w:r w:rsidRPr="00756BC3">
        <w:rPr>
          <w:szCs w:val="21"/>
        </w:rPr>
        <w:t>two assignments, one case study/project and a final exam; or</w:t>
      </w:r>
    </w:p>
    <w:p w:rsidR="00AF1167" w:rsidRDefault="00AF1167" w:rsidP="00CF3563">
      <w:pPr>
        <w:pStyle w:val="ListParagraph"/>
        <w:numPr>
          <w:ilvl w:val="1"/>
          <w:numId w:val="1"/>
        </w:numPr>
        <w:tabs>
          <w:tab w:val="clear" w:pos="1440"/>
          <w:tab w:val="num" w:pos="2268"/>
        </w:tabs>
        <w:spacing w:before="24" w:after="24" w:line="336" w:lineRule="atLeast"/>
        <w:ind w:left="2268"/>
        <w:rPr>
          <w:szCs w:val="21"/>
        </w:rPr>
      </w:pPr>
      <w:r w:rsidRPr="00756BC3">
        <w:rPr>
          <w:szCs w:val="21"/>
        </w:rPr>
        <w:t>three assignments and a final exam; or</w:t>
      </w:r>
    </w:p>
    <w:p w:rsidR="00AF1167" w:rsidRDefault="00AF1167" w:rsidP="00CF3563">
      <w:pPr>
        <w:pStyle w:val="ListParagraph"/>
        <w:numPr>
          <w:ilvl w:val="1"/>
          <w:numId w:val="1"/>
        </w:numPr>
        <w:tabs>
          <w:tab w:val="clear" w:pos="1440"/>
          <w:tab w:val="num" w:pos="2268"/>
        </w:tabs>
        <w:spacing w:before="24" w:after="24" w:line="336" w:lineRule="atLeast"/>
        <w:ind w:left="2268"/>
        <w:rPr>
          <w:szCs w:val="21"/>
        </w:rPr>
      </w:pPr>
      <w:proofErr w:type="gramStart"/>
      <w:r w:rsidRPr="00756BC3">
        <w:rPr>
          <w:szCs w:val="21"/>
        </w:rPr>
        <w:t>two</w:t>
      </w:r>
      <w:proofErr w:type="gramEnd"/>
      <w:r w:rsidRPr="00756BC3">
        <w:rPr>
          <w:szCs w:val="21"/>
        </w:rPr>
        <w:t xml:space="preserve"> assignments, one mid-semester quiz and a final exam.</w:t>
      </w:r>
    </w:p>
    <w:p w:rsidR="00AF1167" w:rsidRPr="007671D8" w:rsidRDefault="00AF1167" w:rsidP="00CF3563">
      <w:pPr>
        <w:numPr>
          <w:ilvl w:val="0"/>
          <w:numId w:val="1"/>
        </w:numPr>
        <w:tabs>
          <w:tab w:val="clear" w:pos="720"/>
          <w:tab w:val="num" w:pos="1418"/>
        </w:tabs>
        <w:spacing w:before="24" w:after="24" w:line="336" w:lineRule="atLeast"/>
        <w:ind w:left="1418"/>
        <w:rPr>
          <w:szCs w:val="21"/>
        </w:rPr>
      </w:pPr>
      <w:r w:rsidRPr="007671D8">
        <w:rPr>
          <w:szCs w:val="21"/>
        </w:rPr>
        <w:t>Nursing</w:t>
      </w:r>
    </w:p>
    <w:p w:rsidR="00AF1167" w:rsidRDefault="00AF1167" w:rsidP="00CF3563">
      <w:pPr>
        <w:pStyle w:val="ListParagraph"/>
        <w:numPr>
          <w:ilvl w:val="1"/>
          <w:numId w:val="1"/>
        </w:numPr>
        <w:tabs>
          <w:tab w:val="clear" w:pos="1440"/>
          <w:tab w:val="num" w:pos="2268"/>
        </w:tabs>
        <w:spacing w:before="24" w:after="24" w:line="336" w:lineRule="atLeast"/>
        <w:ind w:left="2268"/>
        <w:rPr>
          <w:szCs w:val="21"/>
        </w:rPr>
      </w:pPr>
      <w:r w:rsidRPr="00756BC3">
        <w:rPr>
          <w:szCs w:val="21"/>
        </w:rPr>
        <w:t>health breakdown case study, group presentation and a final exam; or</w:t>
      </w:r>
    </w:p>
    <w:p w:rsidR="00AF1167" w:rsidRDefault="00AF1167" w:rsidP="00CF3563">
      <w:pPr>
        <w:pStyle w:val="ListParagraph"/>
        <w:numPr>
          <w:ilvl w:val="1"/>
          <w:numId w:val="1"/>
        </w:numPr>
        <w:tabs>
          <w:tab w:val="clear" w:pos="1440"/>
          <w:tab w:val="num" w:pos="2268"/>
        </w:tabs>
        <w:spacing w:before="24" w:after="24" w:line="336" w:lineRule="atLeast"/>
        <w:ind w:left="2268"/>
        <w:rPr>
          <w:szCs w:val="21"/>
        </w:rPr>
      </w:pPr>
      <w:r w:rsidRPr="00756BC3">
        <w:rPr>
          <w:szCs w:val="21"/>
        </w:rPr>
        <w:t>maths calculation on Blackboard, satisfactory Clinical Laboratory Performance, 100% Attendance at preparation days, 100% attendance at placement, and portfolio; or</w:t>
      </w:r>
    </w:p>
    <w:p w:rsidR="00AF1167" w:rsidRDefault="00AF1167" w:rsidP="00CF3563">
      <w:pPr>
        <w:pStyle w:val="ListParagraph"/>
        <w:numPr>
          <w:ilvl w:val="1"/>
          <w:numId w:val="1"/>
        </w:numPr>
        <w:tabs>
          <w:tab w:val="clear" w:pos="1440"/>
          <w:tab w:val="num" w:pos="2268"/>
        </w:tabs>
        <w:spacing w:before="24" w:after="24" w:line="336" w:lineRule="atLeast"/>
        <w:ind w:left="2268"/>
        <w:rPr>
          <w:szCs w:val="21"/>
        </w:rPr>
      </w:pPr>
      <w:r w:rsidRPr="00756BC3">
        <w:rPr>
          <w:szCs w:val="21"/>
        </w:rPr>
        <w:t>law report (pairs) including a verbal presentation and written report and examination; or</w:t>
      </w:r>
    </w:p>
    <w:p w:rsidR="00AF1167" w:rsidRDefault="00AF1167" w:rsidP="00CF3563">
      <w:pPr>
        <w:pStyle w:val="ListParagraph"/>
        <w:numPr>
          <w:ilvl w:val="1"/>
          <w:numId w:val="1"/>
        </w:numPr>
        <w:tabs>
          <w:tab w:val="clear" w:pos="1440"/>
          <w:tab w:val="num" w:pos="2268"/>
        </w:tabs>
        <w:spacing w:before="24" w:after="24" w:line="336" w:lineRule="atLeast"/>
        <w:ind w:left="2268"/>
        <w:rPr>
          <w:szCs w:val="21"/>
        </w:rPr>
      </w:pPr>
      <w:proofErr w:type="gramStart"/>
      <w:r w:rsidRPr="00756BC3">
        <w:rPr>
          <w:szCs w:val="21"/>
        </w:rPr>
        <w:t>proposal</w:t>
      </w:r>
      <w:proofErr w:type="gramEnd"/>
      <w:r w:rsidRPr="00756BC3">
        <w:rPr>
          <w:szCs w:val="21"/>
        </w:rPr>
        <w:t>, online participation; and three essays.</w:t>
      </w:r>
    </w:p>
    <w:p w:rsidR="00AF1167" w:rsidRPr="007671D8" w:rsidRDefault="00AF1167" w:rsidP="00CF3563">
      <w:pPr>
        <w:numPr>
          <w:ilvl w:val="0"/>
          <w:numId w:val="1"/>
        </w:numPr>
        <w:tabs>
          <w:tab w:val="clear" w:pos="720"/>
          <w:tab w:val="num" w:pos="1418"/>
        </w:tabs>
        <w:spacing w:before="24" w:after="24" w:line="336" w:lineRule="atLeast"/>
        <w:ind w:left="1418"/>
        <w:rPr>
          <w:szCs w:val="21"/>
        </w:rPr>
      </w:pPr>
      <w:proofErr w:type="spellStart"/>
      <w:r w:rsidRPr="007671D8">
        <w:rPr>
          <w:szCs w:val="21"/>
        </w:rPr>
        <w:t>Photomedia</w:t>
      </w:r>
      <w:proofErr w:type="spellEnd"/>
      <w:r w:rsidRPr="007671D8">
        <w:rPr>
          <w:szCs w:val="21"/>
        </w:rPr>
        <w:t>/Fine Arts</w:t>
      </w:r>
    </w:p>
    <w:p w:rsidR="00AF1167" w:rsidRDefault="00AF1167" w:rsidP="00CF3563">
      <w:pPr>
        <w:pStyle w:val="ListParagraph"/>
        <w:numPr>
          <w:ilvl w:val="1"/>
          <w:numId w:val="1"/>
        </w:numPr>
        <w:tabs>
          <w:tab w:val="clear" w:pos="1440"/>
          <w:tab w:val="num" w:pos="2268"/>
        </w:tabs>
        <w:spacing w:before="24" w:after="24" w:line="336" w:lineRule="atLeast"/>
        <w:ind w:left="2268"/>
        <w:rPr>
          <w:szCs w:val="21"/>
        </w:rPr>
      </w:pPr>
      <w:proofErr w:type="gramStart"/>
      <w:r w:rsidRPr="00756BC3">
        <w:rPr>
          <w:szCs w:val="21"/>
        </w:rPr>
        <w:t>ten</w:t>
      </w:r>
      <w:proofErr w:type="gramEnd"/>
      <w:r w:rsidRPr="00756BC3">
        <w:rPr>
          <w:szCs w:val="21"/>
        </w:rPr>
        <w:t xml:space="preserve"> 8” x 10 " prints with proof sheets presented with research folder and bibliographical information.</w:t>
      </w:r>
    </w:p>
    <w:p w:rsidR="00B67DB1" w:rsidRDefault="00CF3563" w:rsidP="00B67DB1">
      <w:pPr>
        <w:spacing w:before="100" w:beforeAutospacing="1" w:after="120" w:line="336" w:lineRule="atLeast"/>
        <w:ind w:left="686" w:hanging="686"/>
        <w:rPr>
          <w:b/>
          <w:bCs/>
          <w:sz w:val="24"/>
        </w:rPr>
      </w:pPr>
      <w:r w:rsidRPr="00CF3563">
        <w:rPr>
          <w:b/>
          <w:bCs/>
          <w:sz w:val="24"/>
        </w:rPr>
        <w:t>2.</w:t>
      </w:r>
      <w:r w:rsidRPr="00CF3563">
        <w:rPr>
          <w:b/>
          <w:bCs/>
          <w:sz w:val="24"/>
        </w:rPr>
        <w:tab/>
      </w:r>
      <w:r w:rsidR="00B67DB1">
        <w:rPr>
          <w:b/>
          <w:bCs/>
          <w:sz w:val="24"/>
        </w:rPr>
        <w:t>Assessment Combinations offered at Multiple Locations</w:t>
      </w:r>
    </w:p>
    <w:p w:rsidR="00AF1167" w:rsidRPr="007671D8" w:rsidRDefault="00AF1167" w:rsidP="00B67DB1">
      <w:pPr>
        <w:spacing w:before="100" w:beforeAutospacing="1" w:after="300" w:line="336" w:lineRule="atLeast"/>
        <w:ind w:left="709"/>
        <w:rPr>
          <w:szCs w:val="21"/>
        </w:rPr>
      </w:pPr>
      <w:r w:rsidRPr="007671D8">
        <w:rPr>
          <w:szCs w:val="21"/>
        </w:rPr>
        <w:t xml:space="preserve">Choice of Assessment item type and combinations </w:t>
      </w:r>
      <w:proofErr w:type="gramStart"/>
      <w:r w:rsidRPr="007671D8">
        <w:rPr>
          <w:szCs w:val="21"/>
        </w:rPr>
        <w:t>should be made</w:t>
      </w:r>
      <w:proofErr w:type="gramEnd"/>
      <w:r w:rsidRPr="007671D8">
        <w:rPr>
          <w:szCs w:val="21"/>
        </w:rPr>
        <w:t xml:space="preserve"> noting that courses offered at multiple locations in the same term of study will have the </w:t>
      </w:r>
      <w:r>
        <w:rPr>
          <w:szCs w:val="21"/>
        </w:rPr>
        <w:t>equivalent</w:t>
      </w:r>
      <w:r w:rsidRPr="007671D8">
        <w:rPr>
          <w:szCs w:val="21"/>
        </w:rPr>
        <w:t xml:space="preserve"> assessment items, including examination scripts:</w:t>
      </w:r>
    </w:p>
    <w:p w:rsidR="00AF1167" w:rsidRDefault="00AF1167" w:rsidP="00AF1167">
      <w:pPr>
        <w:spacing w:before="100" w:beforeAutospacing="1" w:after="100" w:afterAutospacing="1" w:line="240" w:lineRule="auto"/>
        <w:ind w:left="1320" w:hanging="611"/>
        <w:rPr>
          <w:szCs w:val="21"/>
        </w:rPr>
      </w:pPr>
      <w:r w:rsidRPr="007671D8">
        <w:rPr>
          <w:b/>
          <w:bCs/>
          <w:szCs w:val="21"/>
        </w:rPr>
        <w:t>2.1.</w:t>
      </w:r>
      <w:r w:rsidR="00CF3563">
        <w:rPr>
          <w:szCs w:val="21"/>
        </w:rPr>
        <w:tab/>
      </w:r>
      <w:r w:rsidRPr="007671D8">
        <w:rPr>
          <w:szCs w:val="21"/>
        </w:rPr>
        <w:t xml:space="preserve">When determining assessment item combinations, sufficient time should be allocated outside contact hours across the teaching term to enable students to read </w:t>
      </w:r>
      <w:proofErr w:type="gramStart"/>
      <w:r w:rsidRPr="007671D8">
        <w:rPr>
          <w:szCs w:val="21"/>
        </w:rPr>
        <w:t>literature or undertake library research</w:t>
      </w:r>
      <w:proofErr w:type="gramEnd"/>
      <w:r w:rsidRPr="007671D8">
        <w:rPr>
          <w:szCs w:val="21"/>
        </w:rPr>
        <w:t xml:space="preserve"> or meet other course requirements.</w:t>
      </w:r>
    </w:p>
    <w:p w:rsidR="00AF1167" w:rsidRDefault="00AF1167" w:rsidP="00AF1167">
      <w:pPr>
        <w:spacing w:before="100" w:beforeAutospacing="1" w:after="100" w:afterAutospacing="1" w:line="240" w:lineRule="auto"/>
        <w:ind w:left="1320" w:hanging="611"/>
        <w:rPr>
          <w:szCs w:val="21"/>
        </w:rPr>
      </w:pPr>
      <w:r w:rsidRPr="007671D8">
        <w:rPr>
          <w:b/>
          <w:bCs/>
          <w:szCs w:val="21"/>
        </w:rPr>
        <w:t>2.2.</w:t>
      </w:r>
      <w:r w:rsidR="00CF3563">
        <w:rPr>
          <w:szCs w:val="21"/>
        </w:rPr>
        <w:tab/>
      </w:r>
      <w:r w:rsidRPr="007671D8">
        <w:rPr>
          <w:szCs w:val="21"/>
        </w:rPr>
        <w:t xml:space="preserve">Consideration </w:t>
      </w:r>
      <w:proofErr w:type="gramStart"/>
      <w:r w:rsidRPr="007671D8">
        <w:rPr>
          <w:szCs w:val="21"/>
        </w:rPr>
        <w:t>should be given</w:t>
      </w:r>
      <w:proofErr w:type="gramEnd"/>
      <w:r w:rsidRPr="007671D8">
        <w:rPr>
          <w:szCs w:val="21"/>
        </w:rPr>
        <w:t xml:space="preserve"> to student diversity and in particular the needs of Aboriginal and Torres Strait Islander students, students with disabilities and students from diverse socioeconomic and cultural backgrounds.</w:t>
      </w:r>
    </w:p>
    <w:p w:rsidR="00AF1167" w:rsidRDefault="00AF1167" w:rsidP="00AF1167">
      <w:pPr>
        <w:spacing w:before="100" w:beforeAutospacing="1" w:after="100" w:afterAutospacing="1" w:line="240" w:lineRule="auto"/>
        <w:ind w:left="1320" w:hanging="600"/>
        <w:rPr>
          <w:szCs w:val="21"/>
        </w:rPr>
      </w:pPr>
      <w:r w:rsidRPr="007671D8">
        <w:rPr>
          <w:b/>
          <w:bCs/>
          <w:szCs w:val="21"/>
        </w:rPr>
        <w:t>2.3.</w:t>
      </w:r>
      <w:r w:rsidR="00CF3563">
        <w:rPr>
          <w:b/>
          <w:bCs/>
          <w:szCs w:val="21"/>
        </w:rPr>
        <w:tab/>
      </w:r>
      <w:r w:rsidRPr="007671D8">
        <w:rPr>
          <w:szCs w:val="21"/>
        </w:rPr>
        <w:t>Combinations of assessment items should be spread over the term and provide formative feedback to the student in the first half of the term.</w:t>
      </w:r>
    </w:p>
    <w:p w:rsidR="00AF1167" w:rsidRDefault="00AF1167" w:rsidP="00AF1167">
      <w:pPr>
        <w:spacing w:before="100" w:beforeAutospacing="1" w:after="100" w:afterAutospacing="1" w:line="240" w:lineRule="auto"/>
        <w:ind w:left="1320" w:hanging="612"/>
        <w:rPr>
          <w:szCs w:val="21"/>
        </w:rPr>
      </w:pPr>
      <w:r w:rsidRPr="007671D8">
        <w:rPr>
          <w:b/>
          <w:bCs/>
          <w:szCs w:val="21"/>
        </w:rPr>
        <w:lastRenderedPageBreak/>
        <w:t>2.4.</w:t>
      </w:r>
      <w:r w:rsidR="00CF3563">
        <w:rPr>
          <w:b/>
          <w:bCs/>
          <w:szCs w:val="21"/>
        </w:rPr>
        <w:tab/>
      </w:r>
      <w:r w:rsidRPr="007671D8">
        <w:rPr>
          <w:szCs w:val="21"/>
        </w:rPr>
        <w:t>Class participation and attendance may al</w:t>
      </w:r>
      <w:r>
        <w:rPr>
          <w:szCs w:val="21"/>
        </w:rPr>
        <w:t xml:space="preserve">so be included in assessment as </w:t>
      </w:r>
      <w:r w:rsidRPr="007671D8">
        <w:rPr>
          <w:szCs w:val="21"/>
        </w:rPr>
        <w:t>a compulsory course component</w:t>
      </w:r>
      <w:r>
        <w:rPr>
          <w:szCs w:val="21"/>
        </w:rPr>
        <w:t xml:space="preserve"> </w:t>
      </w:r>
      <w:r w:rsidRPr="007671D8">
        <w:rPr>
          <w:szCs w:val="21"/>
        </w:rPr>
        <w:t>(refer</w:t>
      </w:r>
      <w:r>
        <w:rPr>
          <w:szCs w:val="21"/>
        </w:rPr>
        <w:t xml:space="preserve"> to </w:t>
      </w:r>
      <w:hyperlink r:id="rId5" w:history="1">
        <w:r w:rsidRPr="00F07764">
          <w:rPr>
            <w:rStyle w:val="Hyperlink"/>
            <w:szCs w:val="21"/>
          </w:rPr>
          <w:t>Compulsory Course Component</w:t>
        </w:r>
        <w:r w:rsidR="00F07764" w:rsidRPr="00F07764">
          <w:rPr>
            <w:rStyle w:val="Hyperlink"/>
            <w:szCs w:val="21"/>
          </w:rPr>
          <w:t xml:space="preserve"> Procedure 000957</w:t>
        </w:r>
      </w:hyperlink>
      <w:r w:rsidR="00F07764">
        <w:rPr>
          <w:szCs w:val="21"/>
        </w:rPr>
        <w:t>).</w:t>
      </w:r>
    </w:p>
    <w:p w:rsidR="00BD7401" w:rsidRDefault="00BD7401" w:rsidP="00AF1167">
      <w:pPr>
        <w:ind w:left="0"/>
      </w:pPr>
    </w:p>
    <w:sectPr w:rsidR="00BD7401" w:rsidSect="00AF11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F0D78"/>
    <w:multiLevelType w:val="multilevel"/>
    <w:tmpl w:val="D978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1167"/>
    <w:rsid w:val="000E26CD"/>
    <w:rsid w:val="0022402F"/>
    <w:rsid w:val="00306F1C"/>
    <w:rsid w:val="00385770"/>
    <w:rsid w:val="0052172A"/>
    <w:rsid w:val="0066610F"/>
    <w:rsid w:val="00677DAB"/>
    <w:rsid w:val="00822514"/>
    <w:rsid w:val="00837C0B"/>
    <w:rsid w:val="00971171"/>
    <w:rsid w:val="00A51F11"/>
    <w:rsid w:val="00A778BB"/>
    <w:rsid w:val="00AF1167"/>
    <w:rsid w:val="00B67DB1"/>
    <w:rsid w:val="00BD2160"/>
    <w:rsid w:val="00BD7401"/>
    <w:rsid w:val="00BF20EE"/>
    <w:rsid w:val="00CD7EFF"/>
    <w:rsid w:val="00CF3563"/>
    <w:rsid w:val="00DD1EDB"/>
    <w:rsid w:val="00E7263E"/>
    <w:rsid w:val="00EF5E5C"/>
    <w:rsid w:val="00F0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8BAAE"/>
  <w15:chartTrackingRefBased/>
  <w15:docId w15:val="{56CBAE98-2EB1-40A7-903B-750FA5DE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Bold" w:eastAsia="Calibri" w:hAnsi="Arial Bold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167"/>
    <w:pPr>
      <w:spacing w:after="180" w:line="336" w:lineRule="auto"/>
      <w:ind w:left="737"/>
    </w:pPr>
    <w:rPr>
      <w:rFonts w:ascii="Arial" w:eastAsia="Times New Roman" w:hAnsi="Arial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167"/>
    <w:pPr>
      <w:ind w:left="720"/>
      <w:contextualSpacing/>
    </w:pPr>
  </w:style>
  <w:style w:type="character" w:styleId="Hyperlink">
    <w:name w:val="Hyperlink"/>
    <w:uiPriority w:val="99"/>
    <w:unhideWhenUsed/>
    <w:rsid w:val="00F077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wcastle.edu.au/policy/00095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Newcastle</Company>
  <LinksUpToDate>false</LinksUpToDate>
  <CharactersWithSpaces>2298</CharactersWithSpaces>
  <SharedDoc>false</SharedDoc>
  <HLinks>
    <vt:vector size="6" baseType="variant"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http://www.newcastle.edu.au/policy/000957.html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UoN</dc:creator>
  <cp:keywords/>
  <dc:description/>
  <cp:lastModifiedBy>Alice Jackson</cp:lastModifiedBy>
  <cp:revision>4</cp:revision>
  <dcterms:created xsi:type="dcterms:W3CDTF">2015-03-19T22:31:00Z</dcterms:created>
  <dcterms:modified xsi:type="dcterms:W3CDTF">2018-02-20T05:02:00Z</dcterms:modified>
</cp:coreProperties>
</file>